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sz w:val="28"/>
          <w:szCs w:val="28"/>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r w:rsidDel="00000000" w:rsidR="00000000" w:rsidRPr="00000000">
        <w:rPr>
          <w:rtl w:val="0"/>
        </w:rPr>
      </w:r>
    </w:p>
    <w:p w:rsidR="00000000" w:rsidDel="00000000" w:rsidP="00000000" w:rsidRDefault="00000000" w:rsidRPr="00000000" w14:paraId="0000000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 Charges:</w:t>
      </w:r>
      <w:r w:rsidDel="00000000" w:rsidR="00000000" w:rsidRPr="00000000">
        <w:rPr>
          <w:rtl w:val="0"/>
        </w:rPr>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before the </w:t>
      </w:r>
      <w:r w:rsidDel="00000000" w:rsidR="00000000" w:rsidRPr="00000000">
        <w:rPr>
          <w:rFonts w:ascii="Arial" w:cs="Arial" w:eastAsia="Arial" w:hAnsi="Arial"/>
          <w:sz w:val="24"/>
          <w:szCs w:val="24"/>
          <w:rtl w:val="0"/>
        </w:rPr>
        <w:t xml:space="preserve">4 September 2025. Any increase following the 4 September 2025 must be 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pecifically </w:t>
      </w:r>
      <w:r w:rsidDel="00000000" w:rsidR="00000000" w:rsidRPr="00000000">
        <w:rPr>
          <w:rFonts w:ascii="Arial" w:cs="Arial" w:eastAsia="Arial" w:hAnsi="Arial"/>
          <w:sz w:val="24"/>
          <w:szCs w:val="24"/>
          <w:rtl w:val="0"/>
        </w:rPr>
        <w:t xml:space="preserve">stated in the Order Form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only be </w:t>
      </w:r>
      <w:r w:rsidDel="00000000" w:rsidR="00000000" w:rsidRPr="00000000">
        <w:rPr>
          <w:rFonts w:ascii="Arial" w:cs="Arial" w:eastAsia="Arial" w:hAnsi="Arial"/>
          <w:sz w:val="24"/>
          <w:szCs w:val="24"/>
          <w:rtl w:val="0"/>
        </w:rPr>
        <w:t xml:space="preserve">permitted once in a Contract Year and must be in line with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Indexation</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and</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shall not be impacted by any change to the Framework Prices. </w:t>
      </w:r>
      <w:r w:rsidDel="00000000" w:rsidR="00000000" w:rsidRPr="00000000">
        <w:rPr>
          <w:rtl w:val="0"/>
        </w:rPr>
      </w:r>
    </w:p>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r w:rsidDel="00000000" w:rsidR="00000000" w:rsidRPr="00000000">
        <w:rPr>
          <w:rtl w:val="0"/>
        </w:rPr>
      </w:r>
    </w:p>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Costs and expenses </w:t>
      </w:r>
      <w:r w:rsidDel="00000000" w:rsidR="00000000" w:rsidRPr="00000000">
        <w:rPr>
          <w:rtl w:val="0"/>
        </w:rPr>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sz w:val="24"/>
          <w:szCs w:val="24"/>
          <w:rtl w:val="0"/>
        </w:rPr>
        <w:t xml:space="preserve">Except as expressly set out in paragraph 4 (Reimbursable Expenses) of this Framework Schedule 3, the Framework Prices shall include all costs and expenses relating to the Services provided to the Buyer and/or the Suppliers performance of its obligations under any Call Off Contracts and no further amounts shall be payable by a Buyer to the Supplier in respect of such performance, including in respect of matters such as: </w:t>
      </w:r>
      <w:r w:rsidDel="00000000" w:rsidR="00000000" w:rsidRPr="00000000">
        <w:rPr>
          <w:rtl w:val="0"/>
        </w:rPr>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4.251968503937" w:right="0" w:hanging="850.3937007874017"/>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sz w:val="24"/>
          <w:szCs w:val="24"/>
          <w:rtl w:val="0"/>
        </w:rPr>
        <w:t xml:space="preserve">incidental expenses that the Supplier incurs, including travel, subsistence and lodging, document or report reproduction, shipping, desktop or office equipment costs required by the Supplier Personnel, network or data interchange costs or other telecommunications charges; or </w:t>
      </w:r>
      <w:r w:rsidDel="00000000" w:rsidR="00000000" w:rsidRPr="00000000">
        <w:rPr>
          <w:rtl w:val="0"/>
        </w:rPr>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46.1417322834649"/>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sz w:val="24"/>
          <w:szCs w:val="24"/>
          <w:rtl w:val="0"/>
        </w:rPr>
        <w:t xml:space="preserve">any amount for any services provided or costs incurred by the Supplier prior to the commencement date of any Call Off Contract.</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or</w:t>
      </w:r>
      <w:r w:rsidDel="00000000" w:rsidR="00000000" w:rsidRPr="00000000">
        <w:rPr>
          <w:rtl w:val="0"/>
        </w:rPr>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numPr>
          <w:ilvl w:val="0"/>
          <w:numId w:val="1"/>
        </w:numPr>
        <w:tabs>
          <w:tab w:val="left" w:pos="142"/>
        </w:tabs>
        <w:spacing w:after="240" w:before="120" w:line="240" w:lineRule="auto"/>
        <w:ind w:left="360" w:hanging="360"/>
        <w:jc w:val="both"/>
        <w:rPr>
          <w:sz w:val="24"/>
          <w:szCs w:val="24"/>
        </w:rPr>
      </w:pPr>
      <w:r w:rsidDel="00000000" w:rsidR="00000000" w:rsidRPr="00000000">
        <w:rPr>
          <w:rFonts w:ascii="Arial" w:cs="Arial" w:eastAsia="Arial" w:hAnsi="Arial"/>
          <w:b w:val="1"/>
          <w:sz w:val="24"/>
          <w:szCs w:val="24"/>
          <w:rtl w:val="0"/>
        </w:rPr>
        <w:t xml:space="preserve">Reimbursable expenses</w:t>
      </w:r>
      <w:r w:rsidDel="00000000" w:rsidR="00000000" w:rsidRPr="00000000">
        <w:rPr>
          <w:rtl w:val="0"/>
        </w:rPr>
      </w:r>
    </w:p>
    <w:p w:rsidR="00000000" w:rsidDel="00000000" w:rsidP="00000000" w:rsidRDefault="00000000" w:rsidRPr="00000000" w14:paraId="00000012">
      <w:pPr>
        <w:numPr>
          <w:ilvl w:val="1"/>
          <w:numId w:val="1"/>
        </w:numPr>
        <w:tabs>
          <w:tab w:val="left" w:pos="142"/>
        </w:tabs>
        <w:spacing w:after="240" w:before="120" w:line="240" w:lineRule="auto"/>
        <w:ind w:left="644" w:hanging="359.9999999999999"/>
        <w:jc w:val="both"/>
        <w:rPr>
          <w:sz w:val="24"/>
          <w:szCs w:val="24"/>
        </w:rPr>
      </w:pPr>
      <w:r w:rsidDel="00000000" w:rsidR="00000000" w:rsidRPr="00000000">
        <w:rPr>
          <w:rFonts w:ascii="Arial" w:cs="Arial" w:eastAsia="Arial" w:hAnsi="Arial"/>
          <w:sz w:val="24"/>
          <w:szCs w:val="24"/>
          <w:rtl w:val="0"/>
        </w:rPr>
        <w:t xml:space="preserve">Where Services are to be provided to the Buyer under any Call Off Contract on the basis of Framework Prices submitted by the Supplier to CCS using the Time and Materials pricing mechanism set out in Annex 1, the Supplier shall be entitled to be reimbursed by the Buyer for Reimbursable Expenses (in addition to being paid the relevant Charges under the respective Call Off Contracts), provided that such Reimbursable Expenses are supported by Supporting Documentation. The Buyer shall provide a copy of their current expenses policy to the Supplier upon request. </w:t>
      </w:r>
      <w:r w:rsidDel="00000000" w:rsidR="00000000" w:rsidRPr="00000000">
        <w:rPr>
          <w:rtl w:val="0"/>
        </w:rPr>
      </w:r>
    </w:p>
    <w:p w:rsidR="00000000" w:rsidDel="00000000" w:rsidP="00000000" w:rsidRDefault="00000000" w:rsidRPr="00000000" w14:paraId="00000013">
      <w:pPr>
        <w:numPr>
          <w:ilvl w:val="0"/>
          <w:numId w:val="1"/>
        </w:numPr>
        <w:tabs>
          <w:tab w:val="left" w:pos="142"/>
        </w:tabs>
        <w:spacing w:after="240" w:before="120" w:line="240" w:lineRule="auto"/>
        <w:ind w:left="360" w:hanging="360"/>
        <w:jc w:val="both"/>
        <w:rPr/>
      </w:pPr>
      <w:r w:rsidDel="00000000" w:rsidR="00000000" w:rsidRPr="00000000">
        <w:rPr>
          <w:rFonts w:ascii="Arial" w:cs="Arial" w:eastAsia="Arial" w:hAnsi="Arial"/>
          <w:b w:val="1"/>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4">
      <w:pPr>
        <w:numPr>
          <w:ilvl w:val="1"/>
          <w:numId w:val="1"/>
        </w:numPr>
        <w:tabs>
          <w:tab w:val="left" w:pos="709"/>
        </w:tabs>
        <w:spacing w:after="120" w:before="120" w:line="240" w:lineRule="auto"/>
        <w:ind w:left="644" w:hanging="359.9999999999999"/>
        <w:rPr/>
      </w:pPr>
      <w:r w:rsidDel="00000000" w:rsidR="00000000" w:rsidRPr="00000000">
        <w:rPr>
          <w:rFonts w:ascii="Arial" w:cs="Arial" w:eastAsia="Arial" w:hAnsi="Arial"/>
          <w:sz w:val="24"/>
          <w:szCs w:val="24"/>
          <w:rtl w:val="0"/>
        </w:rPr>
        <w:t xml:space="preserve">The Framework Prices can also be varied (and Annex 1 will be updated accordingly) due to:</w:t>
      </w:r>
      <w:r w:rsidDel="00000000" w:rsidR="00000000" w:rsidRPr="00000000">
        <w:rPr>
          <w:rtl w:val="0"/>
        </w:rPr>
      </w:r>
    </w:p>
    <w:p w:rsidR="00000000" w:rsidDel="00000000" w:rsidP="00000000" w:rsidRDefault="00000000" w:rsidRPr="00000000" w14:paraId="00000015">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Specific Change in Law in accordance with Clause 24;</w:t>
      </w:r>
      <w:r w:rsidDel="00000000" w:rsidR="00000000" w:rsidRPr="00000000">
        <w:rPr>
          <w:rtl w:val="0"/>
        </w:rPr>
      </w:r>
    </w:p>
    <w:p w:rsidR="00000000" w:rsidDel="00000000" w:rsidP="00000000" w:rsidRDefault="00000000" w:rsidRPr="00000000" w14:paraId="00000016">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review in accordance with insurance requirements in Clause 13; </w:t>
      </w:r>
      <w:r w:rsidDel="00000000" w:rsidR="00000000" w:rsidRPr="00000000">
        <w:rPr>
          <w:rtl w:val="0"/>
        </w:rPr>
      </w:r>
    </w:p>
    <w:p w:rsidR="00000000" w:rsidDel="00000000" w:rsidP="00000000" w:rsidRDefault="00000000" w:rsidRPr="00000000" w14:paraId="00000017">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benchmarking review in accordance with Call Off Schedule 16 (Benchmarking): and</w:t>
      </w:r>
      <w:r w:rsidDel="00000000" w:rsidR="00000000" w:rsidRPr="00000000">
        <w:rPr>
          <w:rtl w:val="0"/>
        </w:rPr>
      </w:r>
    </w:p>
    <w:p w:rsidR="00000000" w:rsidDel="00000000" w:rsidP="00000000" w:rsidRDefault="00000000" w:rsidRPr="00000000" w14:paraId="00000018">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request from the Supplier, which it can make at any time, to decrease the Framework Prices.</w:t>
      </w:r>
      <w:r w:rsidDel="00000000" w:rsidR="00000000" w:rsidRPr="00000000">
        <w:rPr>
          <w:rtl w:val="0"/>
        </w:rPr>
      </w:r>
    </w:p>
    <w:p w:rsidR="00000000" w:rsidDel="00000000" w:rsidP="00000000" w:rsidRDefault="00000000" w:rsidRPr="00000000" w14:paraId="00000019">
      <w:pPr>
        <w:tabs>
          <w:tab w:val="left" w:pos="1985"/>
          <w:tab w:val="left" w:pos="2127"/>
        </w:tabs>
        <w:spacing w:after="120" w:before="120" w:line="240" w:lineRule="auto"/>
        <w:ind w:left="608.000000000000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numPr>
          <w:ilvl w:val="0"/>
          <w:numId w:val="1"/>
        </w:numPr>
        <w:tabs>
          <w:tab w:val="left" w:pos="142"/>
        </w:tabs>
        <w:spacing w:after="240" w:before="120" w:line="240" w:lineRule="auto"/>
        <w:ind w:left="360" w:hanging="360"/>
        <w:jc w:val="both"/>
        <w:rPr/>
      </w:pPr>
      <w:r w:rsidDel="00000000" w:rsidR="00000000" w:rsidRPr="00000000">
        <w:rPr>
          <w:rFonts w:ascii="Arial" w:cs="Arial" w:eastAsia="Arial" w:hAnsi="Arial"/>
          <w:b w:val="1"/>
          <w:sz w:val="24"/>
          <w:szCs w:val="24"/>
          <w:rtl w:val="0"/>
        </w:rPr>
        <w:t xml:space="preserve">Not Used  </w:t>
      </w:r>
      <w:r w:rsidDel="00000000" w:rsidR="00000000" w:rsidRPr="00000000">
        <w:rPr>
          <w:rtl w:val="0"/>
        </w:rPr>
      </w:r>
    </w:p>
    <w:p w:rsidR="00000000" w:rsidDel="00000000" w:rsidP="00000000" w:rsidRDefault="00000000" w:rsidRPr="00000000" w14:paraId="0000001B">
      <w:pPr>
        <w:numPr>
          <w:ilvl w:val="0"/>
          <w:numId w:val="1"/>
        </w:numPr>
        <w:tabs>
          <w:tab w:val="left" w:pos="142"/>
        </w:tabs>
        <w:spacing w:after="240" w:before="120" w:line="240" w:lineRule="auto"/>
        <w:ind w:left="360" w:hanging="360"/>
        <w:jc w:val="both"/>
        <w:rPr/>
      </w:pPr>
      <w:r w:rsidDel="00000000" w:rsidR="00000000" w:rsidRPr="00000000">
        <w:rPr>
          <w:rFonts w:ascii="Arial" w:cs="Arial" w:eastAsia="Arial" w:hAnsi="Arial"/>
          <w:b w:val="1"/>
          <w:sz w:val="24"/>
          <w:szCs w:val="24"/>
          <w:rtl w:val="0"/>
        </w:rPr>
        <w:t xml:space="preserve">When you will be reimbursed for travel and subsistence</w:t>
      </w:r>
      <w:r w:rsidDel="00000000" w:rsidR="00000000" w:rsidRPr="00000000">
        <w:rPr>
          <w:rtl w:val="0"/>
        </w:rPr>
      </w:r>
    </w:p>
    <w:p w:rsidR="00000000" w:rsidDel="00000000" w:rsidP="00000000" w:rsidRDefault="00000000" w:rsidRPr="00000000" w14:paraId="0000001C">
      <w:pPr>
        <w:numPr>
          <w:ilvl w:val="1"/>
          <w:numId w:val="1"/>
        </w:numPr>
        <w:tabs>
          <w:tab w:val="left" w:pos="709"/>
        </w:tabs>
        <w:spacing w:after="120" w:before="120" w:line="240" w:lineRule="auto"/>
        <w:ind w:left="644" w:hanging="359.9999999999998"/>
        <w:rPr/>
      </w:pPr>
      <w:r w:rsidDel="00000000" w:rsidR="00000000" w:rsidRPr="00000000">
        <w:rPr>
          <w:rFonts w:ascii="Arial" w:cs="Arial" w:eastAsia="Arial" w:hAnsi="Arial"/>
          <w:sz w:val="24"/>
          <w:szCs w:val="24"/>
          <w:rtl w:val="0"/>
        </w:rPr>
        <w:t xml:space="preserve">Expenses shall only be recoverable where:</w:t>
      </w:r>
      <w:r w:rsidDel="00000000" w:rsidR="00000000" w:rsidRPr="00000000">
        <w:rPr>
          <w:rtl w:val="0"/>
        </w:rPr>
      </w:r>
    </w:p>
    <w:p w:rsidR="00000000" w:rsidDel="00000000" w:rsidP="00000000" w:rsidRDefault="00000000" w:rsidRPr="00000000" w14:paraId="0000001D">
      <w:pPr>
        <w:numPr>
          <w:ilvl w:val="2"/>
          <w:numId w:val="1"/>
        </w:numPr>
        <w:tabs>
          <w:tab w:val="left" w:pos="1985"/>
          <w:tab w:val="left" w:pos="2127"/>
          <w:tab w:val="left" w:pos="1980"/>
        </w:tabs>
        <w:spacing w:after="120" w:before="120" w:line="240" w:lineRule="auto"/>
        <w:ind w:left="990" w:firstLine="143.85826771653498"/>
        <w:rPr>
          <w:rFonts w:ascii="Arial" w:cs="Arial" w:eastAsia="Arial" w:hAnsi="Arial"/>
        </w:rPr>
      </w:pPr>
      <w:r w:rsidDel="00000000" w:rsidR="00000000" w:rsidRPr="00000000">
        <w:rPr>
          <w:rFonts w:ascii="Arial" w:cs="Arial" w:eastAsia="Arial" w:hAnsi="Arial"/>
          <w:sz w:val="24"/>
          <w:szCs w:val="24"/>
          <w:rtl w:val="0"/>
        </w:rPr>
        <w:t xml:space="preserve">any of the pricing mechanisms listed in Annex 1 is used; and</w:t>
      </w:r>
      <w:r w:rsidDel="00000000" w:rsidR="00000000" w:rsidRPr="00000000">
        <w:rPr>
          <w:rtl w:val="0"/>
        </w:rPr>
      </w:r>
    </w:p>
    <w:p w:rsidR="00000000" w:rsidDel="00000000" w:rsidP="00000000" w:rsidRDefault="00000000" w:rsidRPr="00000000" w14:paraId="0000001E">
      <w:pPr>
        <w:numPr>
          <w:ilvl w:val="2"/>
          <w:numId w:val="1"/>
        </w:numPr>
        <w:tabs>
          <w:tab w:val="left" w:pos="1985"/>
          <w:tab w:val="left" w:pos="2127"/>
          <w:tab w:val="left" w:pos="1980"/>
        </w:tabs>
        <w:spacing w:after="120" w:before="120" w:line="240" w:lineRule="auto"/>
        <w:ind w:left="990" w:firstLine="143.85826771653498"/>
        <w:rPr>
          <w:rFonts w:ascii="Arial" w:cs="Arial" w:eastAsia="Arial" w:hAnsi="Arial"/>
        </w:rPr>
      </w:pPr>
      <w:r w:rsidDel="00000000" w:rsidR="00000000" w:rsidRPr="00000000">
        <w:rPr>
          <w:rFonts w:ascii="Arial" w:cs="Arial" w:eastAsia="Arial" w:hAnsi="Arial"/>
          <w:sz w:val="24"/>
          <w:szCs w:val="24"/>
          <w:rtl w:val="0"/>
        </w:rPr>
        <w:t xml:space="preserve">the Order Form states that recovery is permitted; and</w:t>
      </w:r>
      <w:r w:rsidDel="00000000" w:rsidR="00000000" w:rsidRPr="00000000">
        <w:rPr>
          <w:rtl w:val="0"/>
        </w:rPr>
      </w:r>
    </w:p>
    <w:p w:rsidR="00000000" w:rsidDel="00000000" w:rsidP="00000000" w:rsidRDefault="00000000" w:rsidRPr="00000000" w14:paraId="0000001F">
      <w:pPr>
        <w:numPr>
          <w:ilvl w:val="2"/>
          <w:numId w:val="1"/>
        </w:numPr>
        <w:tabs>
          <w:tab w:val="left" w:pos="1985"/>
          <w:tab w:val="left" w:pos="2127"/>
          <w:tab w:val="left" w:pos="1980"/>
        </w:tabs>
        <w:spacing w:after="120" w:before="120" w:line="240" w:lineRule="auto"/>
        <w:ind w:left="990" w:firstLine="143.85826771653498"/>
        <w:rPr>
          <w:rFonts w:ascii="Arial" w:cs="Arial" w:eastAsia="Arial" w:hAnsi="Arial"/>
        </w:rPr>
      </w:pPr>
      <w:r w:rsidDel="00000000" w:rsidR="00000000" w:rsidRPr="00000000">
        <w:rPr>
          <w:rFonts w:ascii="Arial" w:cs="Arial" w:eastAsia="Arial" w:hAnsi="Arial"/>
          <w:sz w:val="24"/>
          <w:szCs w:val="24"/>
          <w:rtl w:val="0"/>
        </w:rPr>
        <w:t xml:space="preserve">they are Reimburseable Expenses and are supported by Supporting Documentation.</w:t>
      </w:r>
      <w:r w:rsidDel="00000000" w:rsidR="00000000" w:rsidRPr="00000000">
        <w:rPr>
          <w:rtl w:val="0"/>
        </w:rPr>
      </w:r>
    </w:p>
    <w:p w:rsidR="00000000" w:rsidDel="00000000" w:rsidP="00000000" w:rsidRDefault="00000000" w:rsidRPr="00000000" w14:paraId="00000020">
      <w:pPr>
        <w:numPr>
          <w:ilvl w:val="1"/>
          <w:numId w:val="1"/>
        </w:numPr>
        <w:tabs>
          <w:tab w:val="left" w:pos="709"/>
        </w:tabs>
        <w:spacing w:after="120" w:before="120" w:line="240" w:lineRule="auto"/>
        <w:ind w:left="644" w:hanging="359.9999999999998"/>
        <w:rPr/>
      </w:pPr>
      <w:bookmarkStart w:colFirst="0" w:colLast="0" w:name="_heading=h.tyjcwt" w:id="2"/>
      <w:bookmarkEnd w:id="2"/>
      <w:r w:rsidDel="00000000" w:rsidR="00000000" w:rsidRPr="00000000">
        <w:rPr>
          <w:rFonts w:ascii="Arial" w:cs="Arial" w:eastAsia="Arial" w:hAnsi="Arial"/>
          <w:sz w:val="24"/>
          <w:szCs w:val="24"/>
          <w:rtl w:val="0"/>
        </w:rPr>
        <w:t xml:space="preserve">For the purposes of paragraph 7.1 of this Schedule, a “</w:t>
      </w:r>
      <w:r w:rsidDel="00000000" w:rsidR="00000000" w:rsidRPr="00000000">
        <w:rPr>
          <w:rFonts w:ascii="Arial" w:cs="Arial" w:eastAsia="Arial" w:hAnsi="Arial"/>
          <w:b w:val="1"/>
          <w:sz w:val="24"/>
          <w:szCs w:val="24"/>
          <w:rtl w:val="0"/>
        </w:rPr>
        <w:t xml:space="preserve">Time and Materials pricing mechanism</w:t>
      </w:r>
      <w:r w:rsidDel="00000000" w:rsidR="00000000" w:rsidRPr="00000000">
        <w:rPr>
          <w:rFonts w:ascii="Arial" w:cs="Arial" w:eastAsia="Arial" w:hAnsi="Arial"/>
          <w:sz w:val="24"/>
          <w:szCs w:val="24"/>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prices detailed in Table 1 of Annex 1 to Framework Schedule 3.</w:t>
      </w:r>
      <w:r w:rsidDel="00000000" w:rsidR="00000000" w:rsidRPr="00000000">
        <w:rPr>
          <w:rtl w:val="0"/>
        </w:rPr>
      </w:r>
    </w:p>
    <w:p w:rsidR="00000000" w:rsidDel="00000000" w:rsidP="00000000" w:rsidRDefault="00000000" w:rsidRPr="00000000" w14:paraId="00000021">
      <w:pPr>
        <w:numPr>
          <w:ilvl w:val="1"/>
          <w:numId w:val="1"/>
        </w:numPr>
        <w:tabs>
          <w:tab w:val="left" w:pos="709"/>
        </w:tabs>
        <w:spacing w:after="120" w:before="120" w:line="240" w:lineRule="auto"/>
        <w:ind w:left="644" w:hanging="359.9999999999998"/>
        <w:rPr>
          <w:highlight w:val="yellow"/>
        </w:rPr>
      </w:pPr>
      <w:bookmarkStart w:colFirst="0" w:colLast="0" w:name="_heading=h.3dy6vkm" w:id="3"/>
      <w:bookmarkEnd w:id="3"/>
      <w:r w:rsidDel="00000000" w:rsidR="00000000" w:rsidRPr="00000000">
        <w:rPr>
          <w:rFonts w:ascii="Arial" w:cs="Arial" w:eastAsia="Arial" w:hAnsi="Arial"/>
          <w:sz w:val="24"/>
          <w:szCs w:val="24"/>
          <w:highlight w:val="yellow"/>
          <w:rtl w:val="0"/>
        </w:rPr>
        <w:t xml:space="preserve">[The Buyer shall provide a copy of their current expenses policy to the Supplier upon request. ]</w:t>
      </w:r>
      <w:r w:rsidDel="00000000" w:rsidR="00000000" w:rsidRPr="00000000">
        <w:rPr>
          <w:rtl w:val="0"/>
        </w:rPr>
      </w:r>
    </w:p>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rPr>
          <w:rFonts w:ascii="Arial" w:cs="Arial" w:eastAsia="Arial" w:hAnsi="Arial"/>
          <w:b w:val="1"/>
          <w:sz w:val="36"/>
          <w:szCs w:val="36"/>
        </w:rPr>
      </w:pPr>
      <w:bookmarkStart w:colFirst="0" w:colLast="0" w:name="_heading=h.2et92p0" w:id="4"/>
      <w:bookmarkEnd w:id="4"/>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1: Time and Materials</w:t>
      </w:r>
    </w:p>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its Sub-Contractor) shall not be entitled to include any uplift for risks or contingencies within its day rates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smallCaps w:val="0"/>
          <w:strike w:val="0"/>
          <w:color w:val="000000"/>
          <w:sz w:val="24"/>
          <w:szCs w:val="24"/>
          <w:u w:val="none"/>
          <w:shd w:fill="auto" w:val="clear"/>
          <w:vertAlign w:val="baseline"/>
        </w:rPr>
      </w:pP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The rates below shall not be subject to variation by way of Indexation</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Lot 1</w:t>
      </w:r>
      <w:r w:rsidDel="00000000" w:rsidR="00000000" w:rsidRPr="00000000">
        <w:rPr>
          <w:rtl w:val="0"/>
        </w:rPr>
      </w:r>
    </w:p>
    <w:tbl>
      <w:tblPr>
        <w:tblStyle w:val="Table1"/>
        <w:tblW w:w="9120.0" w:type="dxa"/>
        <w:jc w:val="left"/>
        <w:tblInd w:w="-10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60"/>
        <w:gridCol w:w="4560"/>
        <w:tblGridChange w:id="0">
          <w:tblGrid>
            <w:gridCol w:w="4560"/>
            <w:gridCol w:w="4560"/>
          </w:tblGrid>
        </w:tblGridChange>
      </w:tblGrid>
      <w:tr>
        <w:tc>
          <w:tcPr>
            <w:tcBorders>
              <w:bottom w:color="000000" w:space="0" w:sz="4" w:val="single"/>
            </w:tcBorders>
            <w:shd w:fill="548dd4" w:val="clear"/>
          </w:tcPr>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Grade</w:t>
            </w:r>
          </w:p>
        </w:tc>
        <w:tc>
          <w:tcPr>
            <w:tcBorders>
              <w:bottom w:color="000000" w:space="0" w:sz="4" w:val="single"/>
            </w:tcBorders>
            <w:shd w:fill="548dd4" w:val="clear"/>
          </w:tcPr>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Day Rate (£)</w:t>
            </w:r>
          </w:p>
        </w:tc>
      </w:tr>
      <w:t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2C">
            <w:pPr>
              <w:keepNext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Partner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[T&amp;M]</w:t>
            </w:r>
          </w:p>
        </w:tc>
      </w:tr>
      <w:tr>
        <w:trPr>
          <w:trHeight w:val="620.9765625" w:hRule="atLeast"/>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2E">
            <w:pPr>
              <w:widowControl w:val="0"/>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Director / Senior Audit   Manager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0">
            <w:pPr>
              <w:widowControl w:val="0"/>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Audit Manager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2">
            <w:pPr>
              <w:widowControl w:val="0"/>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Senior Auditor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4">
            <w:pPr>
              <w:widowControl w:val="0"/>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Auditor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6">
            <w:pPr>
              <w:widowControl w:val="0"/>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Trainee Auditor / Analyst</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bl>
    <w:p w:rsidR="00000000" w:rsidDel="00000000" w:rsidP="00000000" w:rsidRDefault="00000000" w:rsidRPr="00000000" w14:paraId="00000038">
      <w:pPr>
        <w:spacing w:after="120" w:before="240" w:line="24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Lot 2 and 4</w:t>
      </w:r>
    </w:p>
    <w:tbl>
      <w:tblPr>
        <w:tblStyle w:val="Table2"/>
        <w:tblW w:w="9120.0" w:type="dxa"/>
        <w:jc w:val="left"/>
        <w:tblInd w:w="-10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60"/>
        <w:gridCol w:w="4560"/>
        <w:tblGridChange w:id="0">
          <w:tblGrid>
            <w:gridCol w:w="4560"/>
            <w:gridCol w:w="4560"/>
          </w:tblGrid>
        </w:tblGridChange>
      </w:tblGrid>
      <w:tr>
        <w:tc>
          <w:tcPr>
            <w:tcBorders>
              <w:bottom w:color="000000" w:space="0" w:sz="4" w:val="single"/>
            </w:tcBorders>
            <w:shd w:fill="548dd4" w:val="clear"/>
          </w:tcPr>
          <w:p w:rsidR="00000000" w:rsidDel="00000000" w:rsidP="00000000" w:rsidRDefault="00000000" w:rsidRPr="00000000" w14:paraId="00000039">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bottom w:color="000000" w:space="0" w:sz="4" w:val="single"/>
            </w:tcBorders>
            <w:shd w:fill="548dd4" w:val="clear"/>
          </w:tcPr>
          <w:p w:rsidR="00000000" w:rsidDel="00000000" w:rsidP="00000000" w:rsidRDefault="00000000" w:rsidRPr="00000000" w14:paraId="0000003A">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Day Rate (£)</w:t>
            </w:r>
          </w:p>
        </w:tc>
      </w:tr>
      <w:t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3B">
            <w:pPr>
              <w:keepNext w:val="1"/>
              <w:spacing w:after="120" w:before="24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keepNext w:val="1"/>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trHeight w:val="620.9765625" w:hRule="atLeast"/>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D">
            <w:pPr>
              <w:widowControl w:val="0"/>
              <w:spacing w:after="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Director / Senior Audit Manager</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3E">
            <w:pPr>
              <w:keepNext w:val="1"/>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F">
            <w:pPr>
              <w:widowControl w:val="0"/>
              <w:spacing w:after="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Audit Manager</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40">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1">
            <w:pPr>
              <w:widowControl w:val="0"/>
              <w:spacing w:after="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Senior Auditor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42">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3">
            <w:pPr>
              <w:widowControl w:val="0"/>
              <w:spacing w:after="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Auditor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44">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5">
            <w:pPr>
              <w:widowControl w:val="0"/>
              <w:spacing w:after="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Trainee Auditor / Analyst</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46">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bl>
    <w:p w:rsidR="00000000" w:rsidDel="00000000" w:rsidP="00000000" w:rsidRDefault="00000000" w:rsidRPr="00000000" w14:paraId="00000047">
      <w:pPr>
        <w:spacing w:after="120" w:before="240" w:line="24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Lot 3</w:t>
      </w:r>
    </w:p>
    <w:tbl>
      <w:tblPr>
        <w:tblStyle w:val="Table3"/>
        <w:tblW w:w="9120.0" w:type="dxa"/>
        <w:jc w:val="left"/>
        <w:tblInd w:w="-10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60"/>
        <w:gridCol w:w="4560"/>
        <w:tblGridChange w:id="0">
          <w:tblGrid>
            <w:gridCol w:w="4560"/>
            <w:gridCol w:w="4560"/>
          </w:tblGrid>
        </w:tblGridChange>
      </w:tblGrid>
      <w:tr>
        <w:tc>
          <w:tcPr>
            <w:tcBorders>
              <w:bottom w:color="000000" w:space="0" w:sz="4" w:val="single"/>
            </w:tcBorders>
            <w:shd w:fill="548dd4" w:val="clear"/>
          </w:tcPr>
          <w:p w:rsidR="00000000" w:rsidDel="00000000" w:rsidP="00000000" w:rsidRDefault="00000000" w:rsidRPr="00000000" w14:paraId="00000048">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bottom w:color="000000" w:space="0" w:sz="4" w:val="single"/>
            </w:tcBorders>
            <w:shd w:fill="548dd4" w:val="clear"/>
          </w:tcPr>
          <w:p w:rsidR="00000000" w:rsidDel="00000000" w:rsidP="00000000" w:rsidRDefault="00000000" w:rsidRPr="00000000" w14:paraId="00000049">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Day Rate (£)</w:t>
            </w:r>
          </w:p>
        </w:tc>
      </w:tr>
      <w:t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4A">
            <w:pPr>
              <w:keepNext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Partner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keepNext w:val="1"/>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trHeight w:val="620.9765625" w:hRule="atLeast"/>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C">
            <w:pPr>
              <w:widowControl w:val="0"/>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Director / Senior Audit Manager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4D">
            <w:pPr>
              <w:keepNext w:val="1"/>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E">
            <w:pPr>
              <w:widowControl w:val="0"/>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Audit Manager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4F">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0">
            <w:pPr>
              <w:widowControl w:val="0"/>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Senior Auditor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51">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2">
            <w:pPr>
              <w:widowControl w:val="0"/>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Auditor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53">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4">
            <w:pPr>
              <w:widowControl w:val="0"/>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Trainee Auditor / Analyst</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55">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bl>
    <w:p w:rsidR="00000000" w:rsidDel="00000000" w:rsidP="00000000" w:rsidRDefault="00000000" w:rsidRPr="00000000" w14:paraId="00000056">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2: Hourly Prices</w:t>
      </w:r>
    </w:p>
    <w:p w:rsidR="00000000" w:rsidDel="00000000" w:rsidP="00000000" w:rsidRDefault="00000000" w:rsidRPr="00000000" w14:paraId="00000057">
      <w:pPr>
        <w:keepNext w:val="1"/>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 its Sub-Contractor) shall not be entitled to include any uplift for risks or contingencies within its hourly rates. </w:t>
      </w:r>
    </w:p>
    <w:p w:rsidR="00000000" w:rsidDel="00000000" w:rsidP="00000000" w:rsidRDefault="00000000" w:rsidRPr="00000000" w14:paraId="00000058">
      <w:pPr>
        <w:keepNext w:val="1"/>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hourly rates will be calculated by dividing the Day Rate by eight (8). </w:t>
      </w:r>
    </w:p>
    <w:p w:rsidR="00000000" w:rsidDel="00000000" w:rsidP="00000000" w:rsidRDefault="00000000" w:rsidRPr="00000000" w14:paraId="00000059">
      <w:pPr>
        <w:spacing w:after="120" w:before="240"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rates below shall not be subject to variation by way of Indexation</w:t>
      </w:r>
      <w:r w:rsidDel="00000000" w:rsidR="00000000" w:rsidRPr="00000000">
        <w:rPr>
          <w:rtl w:val="0"/>
        </w:rPr>
      </w:r>
    </w:p>
    <w:p w:rsidR="00000000" w:rsidDel="00000000" w:rsidP="00000000" w:rsidRDefault="00000000" w:rsidRPr="00000000" w14:paraId="0000005A">
      <w:pPr>
        <w:spacing w:after="120" w:before="240" w:line="24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Lot 1</w:t>
      </w:r>
    </w:p>
    <w:tbl>
      <w:tblPr>
        <w:tblStyle w:val="Table4"/>
        <w:tblW w:w="9120.0" w:type="dxa"/>
        <w:jc w:val="left"/>
        <w:tblInd w:w="-10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60"/>
        <w:gridCol w:w="4560"/>
        <w:tblGridChange w:id="0">
          <w:tblGrid>
            <w:gridCol w:w="4560"/>
            <w:gridCol w:w="4560"/>
          </w:tblGrid>
        </w:tblGridChange>
      </w:tblGrid>
      <w:tr>
        <w:tc>
          <w:tcPr>
            <w:tcBorders>
              <w:bottom w:color="000000" w:space="0" w:sz="4" w:val="single"/>
            </w:tcBorders>
            <w:shd w:fill="548dd4" w:val="clear"/>
          </w:tcPr>
          <w:p w:rsidR="00000000" w:rsidDel="00000000" w:rsidP="00000000" w:rsidRDefault="00000000" w:rsidRPr="00000000" w14:paraId="0000005B">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bottom w:color="000000" w:space="0" w:sz="4" w:val="single"/>
            </w:tcBorders>
            <w:shd w:fill="548dd4" w:val="clear"/>
          </w:tcPr>
          <w:p w:rsidR="00000000" w:rsidDel="00000000" w:rsidP="00000000" w:rsidRDefault="00000000" w:rsidRPr="00000000" w14:paraId="0000005C">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Day Rate (£)</w:t>
            </w:r>
          </w:p>
        </w:tc>
      </w:tr>
      <w:t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5D">
            <w:pPr>
              <w:keepNext w:val="1"/>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Partner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keepNext w:val="1"/>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trHeight w:val="620.9765625" w:hRule="atLeast"/>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5F">
            <w:pPr>
              <w:widowControl w:val="0"/>
              <w:spacing w:after="0" w:lin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Director / Senior Audit   Manager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60">
            <w:pPr>
              <w:keepNext w:val="1"/>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1">
            <w:pPr>
              <w:widowControl w:val="0"/>
              <w:spacing w:after="0" w:lin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Audit Manager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62">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3">
            <w:pPr>
              <w:widowControl w:val="0"/>
              <w:spacing w:after="0" w:lin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Senior Auditor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64">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5">
            <w:pPr>
              <w:widowControl w:val="0"/>
              <w:spacing w:after="0" w:lin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Auditor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66">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7">
            <w:pPr>
              <w:widowControl w:val="0"/>
              <w:spacing w:after="0" w:lin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Core/Specialist - Trainee Auditor / Analyst</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68">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bl>
    <w:p w:rsidR="00000000" w:rsidDel="00000000" w:rsidP="00000000" w:rsidRDefault="00000000" w:rsidRPr="00000000" w14:paraId="00000069">
      <w:pPr>
        <w:spacing w:after="120" w:before="240" w:line="24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Lot 2 and 4</w:t>
      </w:r>
    </w:p>
    <w:tbl>
      <w:tblPr>
        <w:tblStyle w:val="Table5"/>
        <w:tblW w:w="9120.0" w:type="dxa"/>
        <w:jc w:val="left"/>
        <w:tblInd w:w="-10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60"/>
        <w:gridCol w:w="4560"/>
        <w:tblGridChange w:id="0">
          <w:tblGrid>
            <w:gridCol w:w="4560"/>
            <w:gridCol w:w="4560"/>
          </w:tblGrid>
        </w:tblGridChange>
      </w:tblGrid>
      <w:tr>
        <w:tc>
          <w:tcPr>
            <w:tcBorders>
              <w:bottom w:color="000000" w:space="0" w:sz="4" w:val="single"/>
            </w:tcBorders>
            <w:shd w:fill="548dd4" w:val="clear"/>
          </w:tcPr>
          <w:p w:rsidR="00000000" w:rsidDel="00000000" w:rsidP="00000000" w:rsidRDefault="00000000" w:rsidRPr="00000000" w14:paraId="0000006A">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bottom w:color="000000" w:space="0" w:sz="4" w:val="single"/>
            </w:tcBorders>
            <w:shd w:fill="548dd4" w:val="clear"/>
          </w:tcPr>
          <w:p w:rsidR="00000000" w:rsidDel="00000000" w:rsidP="00000000" w:rsidRDefault="00000000" w:rsidRPr="00000000" w14:paraId="0000006B">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Day Rate (£)</w:t>
            </w:r>
          </w:p>
        </w:tc>
      </w:tr>
      <w:t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6C">
            <w:pPr>
              <w:keepNext w:val="1"/>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Partner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keepNext w:val="1"/>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trHeight w:val="620.9765625" w:hRule="atLeast"/>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6E">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Director / Senior Audit Manager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6F">
            <w:pPr>
              <w:keepNext w:val="1"/>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70">
            <w:pPr>
              <w:widowControl w:val="0"/>
              <w:spacing w:after="0" w:lin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Audit Manager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71">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72">
            <w:pPr>
              <w:widowControl w:val="0"/>
              <w:spacing w:after="0" w:lin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Senior Auditor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73">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74">
            <w:pPr>
              <w:widowControl w:val="0"/>
              <w:spacing w:after="0" w:lin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Auditor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75">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76">
            <w:pPr>
              <w:widowControl w:val="0"/>
              <w:spacing w:after="0" w:lin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Trainee Auditor / Analyst</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77">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bl>
    <w:p w:rsidR="00000000" w:rsidDel="00000000" w:rsidP="00000000" w:rsidRDefault="00000000" w:rsidRPr="00000000" w14:paraId="00000078">
      <w:pPr>
        <w:spacing w:after="120" w:before="240" w:line="24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Lot 3</w:t>
      </w:r>
    </w:p>
    <w:tbl>
      <w:tblPr>
        <w:tblStyle w:val="Table6"/>
        <w:tblW w:w="9120.0" w:type="dxa"/>
        <w:jc w:val="left"/>
        <w:tblInd w:w="-10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60"/>
        <w:gridCol w:w="4560"/>
        <w:tblGridChange w:id="0">
          <w:tblGrid>
            <w:gridCol w:w="4560"/>
            <w:gridCol w:w="4560"/>
          </w:tblGrid>
        </w:tblGridChange>
      </w:tblGrid>
      <w:tr>
        <w:tc>
          <w:tcPr>
            <w:tcBorders>
              <w:bottom w:color="000000" w:space="0" w:sz="4" w:val="single"/>
            </w:tcBorders>
            <w:shd w:fill="548dd4" w:val="clear"/>
          </w:tcPr>
          <w:p w:rsidR="00000000" w:rsidDel="00000000" w:rsidP="00000000" w:rsidRDefault="00000000" w:rsidRPr="00000000" w14:paraId="00000079">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bottom w:color="000000" w:space="0" w:sz="4" w:val="single"/>
            </w:tcBorders>
            <w:shd w:fill="548dd4" w:val="clear"/>
          </w:tcPr>
          <w:p w:rsidR="00000000" w:rsidDel="00000000" w:rsidP="00000000" w:rsidRDefault="00000000" w:rsidRPr="00000000" w14:paraId="0000007A">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Day Rate (£)</w:t>
            </w:r>
          </w:p>
        </w:tc>
      </w:tr>
      <w:t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7B">
            <w:pPr>
              <w:keepNext w:val="1"/>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Partner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keepNext w:val="1"/>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trHeight w:val="620.9765625" w:hRule="atLeast"/>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7D">
            <w:pPr>
              <w:widowControl w:val="0"/>
              <w:spacing w:after="0" w:lin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Director / Senior Audit Manager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7E">
            <w:pPr>
              <w:keepNext w:val="1"/>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7F">
            <w:pPr>
              <w:widowControl w:val="0"/>
              <w:spacing w:after="0" w:lin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Audit Manager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80">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81">
            <w:pPr>
              <w:widowControl w:val="0"/>
              <w:spacing w:after="0" w:lin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Senior Auditor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82">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83">
            <w:pPr>
              <w:widowControl w:val="0"/>
              <w:spacing w:after="0" w:lin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Auditor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84">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85">
            <w:pPr>
              <w:widowControl w:val="0"/>
              <w:spacing w:after="0" w:lin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Proactive/Reactive - Trainee Auditor / Analyst</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86">
            <w:pPr>
              <w:keepNext w:val="1"/>
              <w:spacing w:after="120" w:before="240" w:lin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bl>
    <w:p w:rsidR="00000000" w:rsidDel="00000000" w:rsidP="00000000" w:rsidRDefault="00000000" w:rsidRPr="00000000" w14:paraId="00000087">
      <w:pPr>
        <w:keepNext w:val="1"/>
        <w:spacing w:after="240" w:before="24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8">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w:t>
      </w:r>
      <w:r w:rsidDel="00000000" w:rsidR="00000000" w:rsidRPr="00000000">
        <w:rPr>
          <w:rFonts w:ascii="Arial" w:cs="Arial" w:eastAsia="Arial" w:hAnsi="Arial"/>
          <w:b w:val="1"/>
          <w:sz w:val="24"/>
          <w:szCs w:val="24"/>
          <w:rtl w:val="0"/>
        </w:rPr>
        <w:t xml:space="preserve">3</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Fixed Prices</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of services below shall not be subject to variation by way of Indexation</w:t>
      </w:r>
      <w:r w:rsidDel="00000000" w:rsidR="00000000" w:rsidRPr="00000000">
        <w:rPr>
          <w:rtl w:val="0"/>
        </w:rPr>
      </w:r>
    </w:p>
    <w:tbl>
      <w:tblPr>
        <w:tblStyle w:val="Table7"/>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c>
          <w:tcPr>
            <w:shd w:fill="548dd4" w:val="clear"/>
          </w:tcPr>
          <w:p w:rsidR="00000000" w:rsidDel="00000000" w:rsidP="00000000" w:rsidRDefault="00000000" w:rsidRPr="00000000" w14:paraId="0000008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w:t>
            </w:r>
          </w:p>
        </w:tc>
        <w:tc>
          <w:tcPr>
            <w:shd w:fill="548dd4" w:val="clear"/>
          </w:tcPr>
          <w:p w:rsidR="00000000" w:rsidDel="00000000" w:rsidP="00000000" w:rsidRDefault="00000000" w:rsidRPr="00000000" w14:paraId="0000008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Fixed Framework Price (£)</w:t>
            </w:r>
          </w:p>
        </w:tc>
      </w:tr>
      <w:tr>
        <w:tc>
          <w:tcPr/>
          <w:p w:rsidR="00000000" w:rsidDel="00000000" w:rsidP="00000000" w:rsidRDefault="00000000" w:rsidRPr="00000000" w14:paraId="0000008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fixed price 1]</w:t>
            </w:r>
          </w:p>
        </w:tc>
        <w:tc>
          <w:tcPr>
            <w:shd w:fill="ffffff" w:val="clear"/>
          </w:tcPr>
          <w:p w:rsidR="00000000" w:rsidDel="00000000" w:rsidP="00000000" w:rsidRDefault="00000000" w:rsidRPr="00000000" w14:paraId="0000008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14:paraId="0000008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fixed price 2]</w:t>
            </w:r>
          </w:p>
        </w:tc>
        <w:tc>
          <w:tcPr>
            <w:shd w:fill="ffffff" w:val="clear"/>
          </w:tcPr>
          <w:p w:rsidR="00000000" w:rsidDel="00000000" w:rsidP="00000000" w:rsidRDefault="00000000" w:rsidRPr="00000000" w14:paraId="0000008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90">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1">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w:t>
      </w:r>
      <w:r w:rsidDel="00000000" w:rsidR="00000000" w:rsidRPr="00000000">
        <w:rPr>
          <w:rFonts w:ascii="Arial" w:cs="Arial" w:eastAsia="Arial" w:hAnsi="Arial"/>
          <w:b w:val="1"/>
          <w:sz w:val="24"/>
          <w:szCs w:val="24"/>
          <w:rtl w:val="0"/>
        </w:rPr>
        <w:t xml:space="preserve">4</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Volume Based Prices</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8"/>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254"/>
        <w:gridCol w:w="2254"/>
        <w:gridCol w:w="2254"/>
        <w:gridCol w:w="2254"/>
        <w:tblGridChange w:id="0">
          <w:tblGrid>
            <w:gridCol w:w="2254"/>
            <w:gridCol w:w="2254"/>
            <w:gridCol w:w="2254"/>
            <w:gridCol w:w="2254"/>
          </w:tblGrid>
        </w:tblGridChange>
      </w:tblGrid>
      <w:tr>
        <w:tc>
          <w:tcPr>
            <w:shd w:fill="548dd4" w:val="clear"/>
          </w:tcPr>
          <w:p w:rsidR="00000000" w:rsidDel="00000000" w:rsidP="00000000" w:rsidRDefault="00000000" w:rsidRPr="00000000" w14:paraId="0000009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 Number</w:t>
            </w:r>
          </w:p>
        </w:tc>
        <w:tc>
          <w:tcPr>
            <w:shd w:fill="548dd4" w:val="clear"/>
          </w:tcPr>
          <w:p w:rsidR="00000000" w:rsidDel="00000000" w:rsidP="00000000" w:rsidRDefault="00000000" w:rsidRPr="00000000" w14:paraId="0000009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Unit</w:t>
            </w:r>
          </w:p>
        </w:tc>
        <w:tc>
          <w:tcPr>
            <w:shd w:fill="548dd4" w:val="clear"/>
          </w:tcPr>
          <w:p w:rsidR="00000000" w:rsidDel="00000000" w:rsidP="00000000" w:rsidRDefault="00000000" w:rsidRPr="00000000" w14:paraId="0000009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Number of units per Service Period</w:t>
            </w:r>
          </w:p>
        </w:tc>
        <w:tc>
          <w:tcPr>
            <w:shd w:fill="548dd4" w:val="clear"/>
          </w:tcPr>
          <w:p w:rsidR="00000000" w:rsidDel="00000000" w:rsidP="00000000" w:rsidRDefault="00000000" w:rsidRPr="00000000" w14:paraId="0000009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 per unit (£)</w:t>
            </w:r>
          </w:p>
        </w:tc>
      </w:tr>
      <w:tr>
        <w:tc>
          <w:tcPr>
            <w:vMerge w:val="restart"/>
          </w:tcPr>
          <w:p w:rsidR="00000000" w:rsidDel="00000000" w:rsidP="00000000" w:rsidRDefault="00000000" w:rsidRPr="00000000" w14:paraId="0000009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volume based price 1]</w:t>
            </w:r>
          </w:p>
        </w:tc>
        <w:tc>
          <w:tcPr>
            <w:vMerge w:val="restart"/>
          </w:tcPr>
          <w:p w:rsidR="00000000" w:rsidDel="00000000" w:rsidP="00000000" w:rsidRDefault="00000000" w:rsidRPr="00000000" w14:paraId="0000009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9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trHeight w:val="701" w:hRule="atLeast"/>
        </w:trPr>
        <w:tc>
          <w:tcPr>
            <w:vMerge w:val="continue"/>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9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c>
          <w:tcPr>
            <w:vMerge w:val="restart"/>
          </w:tcPr>
          <w:p w:rsidR="00000000" w:rsidDel="00000000" w:rsidP="00000000" w:rsidRDefault="00000000" w:rsidRPr="00000000" w14:paraId="0000009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volume based price 2]</w:t>
            </w:r>
          </w:p>
        </w:tc>
        <w:tc>
          <w:tcPr>
            <w:vMerge w:val="restart"/>
          </w:tcPr>
          <w:p w:rsidR="00000000" w:rsidDel="00000000" w:rsidP="00000000" w:rsidRDefault="00000000" w:rsidRPr="00000000" w14:paraId="000000A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A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c>
          <w:tcPr>
            <w:vMerge w:val="continue"/>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A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bl>
    <w:p w:rsidR="00000000" w:rsidDel="00000000" w:rsidP="00000000" w:rsidRDefault="00000000" w:rsidRPr="00000000" w14:paraId="000000A7">
      <w:pPr>
        <w:spacing w:after="120" w:before="240" w:line="240"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9"/>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9026"/>
        <w:tblGridChange w:id="0">
          <w:tblGrid>
            <w:gridCol w:w="9026"/>
          </w:tblGrid>
        </w:tblGridChange>
      </w:tblGrid>
    </w:tbl>
    <w:p w:rsidR="00000000" w:rsidDel="00000000" w:rsidP="00000000" w:rsidRDefault="00000000" w:rsidRPr="00000000" w14:paraId="000000A8">
      <w:pPr>
        <w:keepNext w:val="1"/>
        <w:spacing w:after="240" w:before="24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5: Risk and Reward Prices</w:t>
      </w:r>
    </w:p>
    <w:p w:rsidR="00000000" w:rsidDel="00000000" w:rsidP="00000000" w:rsidRDefault="00000000" w:rsidRPr="00000000" w14:paraId="000000A9">
      <w:pPr>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rates below shall not be subject to variation by way of Indexation</w:t>
      </w:r>
    </w:p>
    <w:p w:rsidR="00000000" w:rsidDel="00000000" w:rsidP="00000000" w:rsidRDefault="00000000" w:rsidRPr="00000000" w14:paraId="000000AA">
      <w:pPr>
        <w:spacing w:after="120" w:before="240" w:line="240" w:lineRule="auto"/>
        <w:rPr>
          <w:rFonts w:ascii="Arial" w:cs="Arial" w:eastAsia="Arial" w:hAnsi="Arial"/>
          <w:b w:val="1"/>
          <w:i w:val="1"/>
          <w:sz w:val="24"/>
          <w:szCs w:val="24"/>
        </w:rPr>
      </w:pPr>
      <w:r w:rsidDel="00000000" w:rsidR="00000000" w:rsidRPr="00000000">
        <w:rPr>
          <w:rtl w:val="0"/>
        </w:rPr>
      </w:r>
    </w:p>
    <w:tbl>
      <w:tblPr>
        <w:tblStyle w:val="Table10"/>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c>
          <w:tcPr>
            <w:shd w:fill="548dd4" w:val="clear"/>
          </w:tcPr>
          <w:p w:rsidR="00000000" w:rsidDel="00000000" w:rsidP="00000000" w:rsidRDefault="00000000" w:rsidRPr="00000000" w14:paraId="000000AB">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Price</w:t>
            </w:r>
          </w:p>
        </w:tc>
        <w:tc>
          <w:tcPr>
            <w:shd w:fill="548dd4" w:val="clear"/>
          </w:tcPr>
          <w:p w:rsidR="00000000" w:rsidDel="00000000" w:rsidP="00000000" w:rsidRDefault="00000000" w:rsidRPr="00000000" w14:paraId="000000AC">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Risk and Reward Framework Price (£)</w:t>
            </w:r>
          </w:p>
        </w:tc>
      </w:tr>
      <w:tr>
        <w:tc>
          <w:tcPr/>
          <w:p w:rsidR="00000000" w:rsidDel="00000000" w:rsidP="00000000" w:rsidRDefault="00000000" w:rsidRPr="00000000" w14:paraId="000000AD">
            <w:pPr>
              <w:keepNext w:val="1"/>
              <w:spacing w:after="120" w:before="240" w:line="240" w:lineRule="auto"/>
              <w:ind w:left="142"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[e.g. risk and reward price 1]</w:t>
            </w:r>
          </w:p>
        </w:tc>
        <w:tc>
          <w:tcPr>
            <w:shd w:fill="ffffff" w:val="clear"/>
          </w:tcPr>
          <w:p w:rsidR="00000000" w:rsidDel="00000000" w:rsidP="00000000" w:rsidRDefault="00000000" w:rsidRPr="00000000" w14:paraId="000000AE">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AF">
            <w:pPr>
              <w:keepNext w:val="1"/>
              <w:spacing w:after="120" w:before="240" w:line="240" w:lineRule="auto"/>
              <w:ind w:left="142"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[e.g. risk and reward price 2]</w:t>
            </w:r>
          </w:p>
        </w:tc>
        <w:tc>
          <w:tcPr>
            <w:shd w:fill="ffffff" w:val="clear"/>
          </w:tcPr>
          <w:p w:rsidR="00000000" w:rsidDel="00000000" w:rsidP="00000000" w:rsidRDefault="00000000" w:rsidRPr="00000000" w14:paraId="000000B0">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B1">
      <w:pPr>
        <w:keepNext w:val="1"/>
        <w:spacing w:after="240" w:before="240" w:line="240" w:lineRule="auto"/>
        <w:rPr>
          <w:rFonts w:ascii="Arial" w:cs="Arial" w:eastAsia="Arial" w:hAnsi="Arial"/>
          <w:sz w:val="24"/>
          <w:szCs w:val="24"/>
        </w:rPr>
      </w:pPr>
      <w:r w:rsidDel="00000000" w:rsidR="00000000" w:rsidRPr="00000000">
        <w:rPr>
          <w:rtl w:val="0"/>
        </w:rPr>
      </w:r>
    </w:p>
    <w:sectPr>
      <w:footerReference r:id="rId7" w:type="defaul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rPr>
        <w:rFonts w:ascii="Arial" w:cs="Arial" w:eastAsia="Arial" w:hAnsi="Arial"/>
      </w:rPr>
    </w:pPr>
    <w:r w:rsidDel="00000000" w:rsidR="00000000" w:rsidRPr="00000000">
      <w:rPr>
        <w:rFonts w:ascii="Arial" w:cs="Arial" w:eastAsia="Arial" w:hAnsi="Arial"/>
        <w:rtl w:val="0"/>
      </w:rPr>
      <w:t xml:space="preserve">Framework Ref: RM6188</w:t>
      <w:tab/>
      <w:t xml:space="preserve">                                           </w:t>
    </w:r>
  </w:p>
  <w:p w:rsidR="00000000" w:rsidDel="00000000" w:rsidP="00000000" w:rsidRDefault="00000000" w:rsidRPr="00000000" w14:paraId="000000B3">
    <w:pPr>
      <w:rPr>
        <w:rFonts w:ascii="Arial" w:cs="Arial" w:eastAsia="Arial" w:hAnsi="Arial"/>
      </w:rPr>
    </w:pPr>
    <w:r w:rsidDel="00000000" w:rsidR="00000000" w:rsidRPr="00000000">
      <w:rPr>
        <w:rFonts w:ascii="Arial" w:cs="Arial" w:eastAsia="Arial" w:hAnsi="Arial"/>
        <w:rtl w:val="0"/>
      </w:rPr>
      <w:t xml:space="preserve">Project Version: v1.0</w:t>
      <w:tab/>
      <w:tab/>
      <w:t xml:space="preserve"> </w:t>
      <w:tab/>
      <w:tab/>
      <w:tab/>
      <w:tab/>
      <w:tab/>
      <w:tab/>
      <w:tab/>
      <w:tab/>
      <w:t xml:space="preserve">1</w:t>
    </w:r>
  </w:p>
  <w:p w:rsidR="00000000" w:rsidDel="00000000" w:rsidP="00000000" w:rsidRDefault="00000000" w:rsidRPr="00000000" w14:paraId="000000B4">
    <w:pPr>
      <w:rPr>
        <w:rFonts w:ascii="Arial" w:cs="Arial" w:eastAsia="Arial" w:hAnsi="Arial"/>
      </w:rPr>
    </w:pPr>
    <w:r w:rsidDel="00000000" w:rsidR="00000000" w:rsidRPr="00000000">
      <w:rPr>
        <w:rFonts w:ascii="Arial" w:cs="Arial" w:eastAsia="Arial" w:hAnsi="Arial"/>
        <w:rtl w:val="0"/>
      </w:rPr>
      <w:t xml:space="preserve">Model Version: v3.3</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0"/>
        <w:smallCaps w:val="0"/>
        <w:strike w:val="0"/>
        <w:color w:val="000000"/>
        <w:sz w:val="26"/>
        <w:szCs w:val="26"/>
        <w:u w:val="none"/>
        <w:vertAlign w:val="baseline"/>
      </w:rPr>
    </w:lvl>
    <w:lvl w:ilvl="1">
      <w:start w:val="1"/>
      <w:numFmt w:val="decimal"/>
      <w:lvlText w:val="%1.%2"/>
      <w:lvlJc w:val="left"/>
      <w:pPr>
        <w:ind w:left="644" w:hanging="359.9999999999996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firstLine="143.858267716535"/>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ENHsqqH/sxXYbANFGtMlImlbxQ==">AMUW2mUkPeH7S/J+nzBV7KbkSszbChd/ikdckDCKMbPhq8tqyrl+y+9yalBfC0kAZUplLKMJDKz+cb1JTZyVm04uJESvMGU3+mAWWuHsPokusbtsP5AGIFxe6otDYPg9Q3RmPqU9Ylv2ptj+uG8/+S0h7IJJ3722/eS2Gq7SQybAY8wXtf8q9zTqeLpHvFfZnfINGnBVP/uyShZPMsHYT0UbIb/X/aQVrfOh4LKt9j7HrETjNlKtJ+1XuB/izo+gw+eNG/TycNLBQAaLnV7EgyOUK6rzn9+mhneUDYV2T3WQ+FeQb9oUPdehqlKTIzf1aP2rwuLYcN0lu9fWUyJpyPUIJSX1TPNX6JI2YbGIxGzrFirXZg/t0ScmVXuIDoDLaZyGekZeeU9Em54yxi7H6K2SKhXg1nkNGyN9d3tTZJ7ENK/wBESxgSvPaGjAqIIfOFosz9qO4Bfm6HC3f4JMNjkpcAhPcnGEY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2020-10-16T10:45:00Z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